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7D46" w14:textId="7A229C88" w:rsidR="00CF2BAF" w:rsidRPr="001074B8" w:rsidRDefault="00471103" w:rsidP="0025216A">
      <w:pPr>
        <w:jc w:val="center"/>
        <w:rPr>
          <w:rFonts w:ascii="Arial Black" w:hAnsi="Arial Black"/>
          <w:b/>
          <w:bCs/>
          <w:sz w:val="28"/>
          <w:szCs w:val="28"/>
        </w:rPr>
      </w:pPr>
      <w:r w:rsidRPr="001074B8">
        <w:rPr>
          <w:rFonts w:ascii="Arial Black" w:hAnsi="Arial Black"/>
          <w:b/>
          <w:bCs/>
          <w:sz w:val="28"/>
          <w:szCs w:val="28"/>
        </w:rPr>
        <w:t>TRASLADOS Y CONVALIDACIONES</w:t>
      </w:r>
    </w:p>
    <w:p w14:paraId="5FE23B2B" w14:textId="0504C09C" w:rsidR="00471103" w:rsidRDefault="00471103" w:rsidP="00471103"/>
    <w:p w14:paraId="0F4F60A2" w14:textId="77777777" w:rsidR="001074B8" w:rsidRDefault="001074B8" w:rsidP="00471103">
      <w:pPr>
        <w:tabs>
          <w:tab w:val="left" w:pos="2830"/>
        </w:tabs>
        <w:jc w:val="both"/>
        <w:rPr>
          <w:rFonts w:ascii="Arial" w:eastAsia="Arial" w:hAnsi="Arial" w:cs="Arial"/>
          <w:b/>
        </w:rPr>
      </w:pPr>
    </w:p>
    <w:p w14:paraId="02CBFC90" w14:textId="4C1651DD" w:rsidR="00471103" w:rsidRPr="000C53FB" w:rsidRDefault="00471103" w:rsidP="00471103">
      <w:pPr>
        <w:tabs>
          <w:tab w:val="left" w:pos="2830"/>
        </w:tabs>
        <w:jc w:val="both"/>
        <w:rPr>
          <w:rFonts w:ascii="Arial" w:eastAsia="Arial" w:hAnsi="Arial" w:cs="Arial"/>
          <w:b/>
          <w:sz w:val="24"/>
          <w:szCs w:val="24"/>
        </w:rPr>
      </w:pPr>
      <w:r w:rsidRPr="000C53FB">
        <w:rPr>
          <w:rFonts w:ascii="Arial" w:eastAsia="Arial" w:hAnsi="Arial" w:cs="Arial"/>
          <w:b/>
          <w:sz w:val="24"/>
          <w:szCs w:val="24"/>
        </w:rPr>
        <w:t>De los traslados interno o externos</w:t>
      </w:r>
    </w:p>
    <w:p w14:paraId="0BDB34FB" w14:textId="77777777" w:rsidR="00471103" w:rsidRDefault="00471103" w:rsidP="00471103">
      <w:pPr>
        <w:tabs>
          <w:tab w:val="left" w:pos="2830"/>
        </w:tabs>
        <w:jc w:val="both"/>
        <w:rPr>
          <w:rFonts w:ascii="Arial" w:eastAsia="Arial" w:hAnsi="Arial" w:cs="Arial"/>
        </w:rPr>
      </w:pPr>
    </w:p>
    <w:p w14:paraId="66A4C088" w14:textId="4A7BD65B" w:rsidR="00471103" w:rsidRDefault="00471103" w:rsidP="00471103">
      <w:pPr>
        <w:tabs>
          <w:tab w:val="left" w:pos="2830"/>
        </w:tabs>
        <w:jc w:val="both"/>
        <w:rPr>
          <w:rFonts w:ascii="Arial" w:eastAsia="Arial" w:hAnsi="Arial" w:cs="Arial"/>
        </w:rPr>
      </w:pPr>
      <w:r>
        <w:rPr>
          <w:rFonts w:ascii="Arial" w:eastAsia="Arial" w:hAnsi="Arial" w:cs="Arial"/>
        </w:rPr>
        <w:t>Para solicitar el traslado interno o externo, el estudiante debe haber concluido y aprobado el 100% de créditos del primer ciclo académico y existir vacante disponible en el Programa de Estudios de destino.</w:t>
      </w:r>
    </w:p>
    <w:p w14:paraId="597AFF4B" w14:textId="77777777" w:rsidR="00471103" w:rsidRDefault="00471103" w:rsidP="00471103">
      <w:pPr>
        <w:tabs>
          <w:tab w:val="left" w:pos="2830"/>
        </w:tabs>
        <w:jc w:val="both"/>
        <w:rPr>
          <w:rFonts w:ascii="Arial" w:eastAsia="Arial" w:hAnsi="Arial" w:cs="Arial"/>
          <w:sz w:val="18"/>
          <w:szCs w:val="18"/>
        </w:rPr>
      </w:pPr>
    </w:p>
    <w:p w14:paraId="5EA0C194" w14:textId="77777777" w:rsidR="00471103" w:rsidRDefault="00471103" w:rsidP="00471103">
      <w:pPr>
        <w:tabs>
          <w:tab w:val="left" w:pos="2830"/>
        </w:tabs>
        <w:jc w:val="both"/>
        <w:rPr>
          <w:rFonts w:ascii="Arial" w:eastAsia="Arial" w:hAnsi="Arial" w:cs="Arial"/>
        </w:rPr>
      </w:pPr>
      <w:r>
        <w:rPr>
          <w:rFonts w:ascii="Arial" w:eastAsia="Arial" w:hAnsi="Arial" w:cs="Arial"/>
        </w:rPr>
        <w:t>La solicitud de traslado debe realizarse antes de culminado el proceso de matrícula correspondiente.</w:t>
      </w:r>
    </w:p>
    <w:p w14:paraId="582F22BB" w14:textId="77777777" w:rsidR="00471103" w:rsidRDefault="00471103" w:rsidP="00471103">
      <w:pPr>
        <w:tabs>
          <w:tab w:val="left" w:pos="2830"/>
        </w:tabs>
        <w:jc w:val="both"/>
        <w:rPr>
          <w:rFonts w:ascii="Arial" w:eastAsia="Arial" w:hAnsi="Arial" w:cs="Arial"/>
          <w:sz w:val="18"/>
          <w:szCs w:val="18"/>
        </w:rPr>
      </w:pPr>
    </w:p>
    <w:p w14:paraId="23544337" w14:textId="77777777" w:rsidR="00471103" w:rsidRDefault="00471103" w:rsidP="00471103">
      <w:pPr>
        <w:tabs>
          <w:tab w:val="left" w:pos="2830"/>
        </w:tabs>
        <w:jc w:val="both"/>
        <w:rPr>
          <w:rFonts w:ascii="Arial" w:eastAsia="Arial" w:hAnsi="Arial" w:cs="Arial"/>
        </w:rPr>
      </w:pPr>
      <w:r>
        <w:rPr>
          <w:rFonts w:ascii="Arial" w:eastAsia="Arial" w:hAnsi="Arial" w:cs="Arial"/>
        </w:rPr>
        <w:t>El traslado se concreta formalmente mediante la resolución directoral de aprobación, la cual debe ser emitida y registrada previa a la finalización del proceso de matrícula. Asimismo, se sujeta al proceso de convalidación establecido de acuerdo con la normativa vigente.</w:t>
      </w:r>
    </w:p>
    <w:p w14:paraId="72A3624E" w14:textId="77777777" w:rsidR="00471103" w:rsidRDefault="00471103" w:rsidP="00471103">
      <w:pPr>
        <w:tabs>
          <w:tab w:val="left" w:pos="2830"/>
        </w:tabs>
        <w:jc w:val="both"/>
        <w:rPr>
          <w:rFonts w:ascii="Arial" w:eastAsia="Arial" w:hAnsi="Arial" w:cs="Arial"/>
          <w:sz w:val="18"/>
          <w:szCs w:val="18"/>
        </w:rPr>
      </w:pPr>
    </w:p>
    <w:p w14:paraId="00FF3590" w14:textId="7CCDB526" w:rsidR="00471103" w:rsidRDefault="00471103" w:rsidP="00471103">
      <w:pPr>
        <w:tabs>
          <w:tab w:val="left" w:pos="2830"/>
        </w:tabs>
        <w:jc w:val="both"/>
        <w:rPr>
          <w:rFonts w:ascii="Arial" w:eastAsia="Arial" w:hAnsi="Arial" w:cs="Arial"/>
        </w:rPr>
      </w:pPr>
      <w:r>
        <w:rPr>
          <w:rFonts w:ascii="Arial" w:eastAsia="Arial" w:hAnsi="Arial" w:cs="Arial"/>
        </w:rPr>
        <w:t xml:space="preserve">La comisión encargada de evaluar el expediente presentado y de emitir el informe está conformada por el </w:t>
      </w:r>
      <w:r w:rsidR="0025216A">
        <w:rPr>
          <w:rFonts w:ascii="Arial" w:eastAsia="Arial" w:hAnsi="Arial" w:cs="Arial"/>
        </w:rPr>
        <w:t>jefe</w:t>
      </w:r>
      <w:r>
        <w:rPr>
          <w:rFonts w:ascii="Arial" w:eastAsia="Arial" w:hAnsi="Arial" w:cs="Arial"/>
        </w:rPr>
        <w:t xml:space="preserve"> de Unidad Académica, Secretaría Académica y Coordinación del Área de Evaluación y Registro Académico. En caso de cambio de Programa de Estudios, la referida comisión estará conformada, además, por el Coordinador del programa de estudios quien elaborará el informe de acuerdo con las consideraciones para la convalidación.</w:t>
      </w:r>
    </w:p>
    <w:p w14:paraId="7AAB7540" w14:textId="77777777" w:rsidR="000C53FB" w:rsidRDefault="000C53FB" w:rsidP="00471103">
      <w:pPr>
        <w:tabs>
          <w:tab w:val="left" w:pos="2830"/>
        </w:tabs>
        <w:jc w:val="both"/>
        <w:rPr>
          <w:rFonts w:ascii="Arial" w:eastAsia="Arial" w:hAnsi="Arial" w:cs="Arial"/>
        </w:rPr>
      </w:pPr>
    </w:p>
    <w:p w14:paraId="59B68617" w14:textId="77777777" w:rsidR="00471103" w:rsidRDefault="00471103" w:rsidP="00471103">
      <w:pPr>
        <w:tabs>
          <w:tab w:val="left" w:pos="2830"/>
        </w:tabs>
        <w:jc w:val="both"/>
        <w:rPr>
          <w:rFonts w:ascii="Arial" w:eastAsia="Arial" w:hAnsi="Arial" w:cs="Arial"/>
          <w:b/>
          <w:sz w:val="18"/>
          <w:szCs w:val="18"/>
        </w:rPr>
      </w:pPr>
    </w:p>
    <w:p w14:paraId="4A4303B6" w14:textId="1023DA56" w:rsidR="00471103" w:rsidRPr="000C53FB" w:rsidRDefault="00471103" w:rsidP="00471103">
      <w:pPr>
        <w:tabs>
          <w:tab w:val="left" w:pos="2830"/>
        </w:tabs>
        <w:jc w:val="both"/>
        <w:rPr>
          <w:rFonts w:ascii="Arial" w:eastAsia="Arial" w:hAnsi="Arial" w:cs="Arial"/>
          <w:b/>
          <w:sz w:val="24"/>
          <w:szCs w:val="24"/>
        </w:rPr>
      </w:pPr>
      <w:r w:rsidRPr="000C53FB">
        <w:rPr>
          <w:rFonts w:ascii="Arial" w:eastAsia="Arial" w:hAnsi="Arial" w:cs="Arial"/>
          <w:b/>
          <w:sz w:val="24"/>
          <w:szCs w:val="24"/>
        </w:rPr>
        <w:t>De la convalidación en el Programa de Formación Inicial Docente</w:t>
      </w:r>
    </w:p>
    <w:p w14:paraId="6750EC18" w14:textId="77777777" w:rsidR="00471103" w:rsidRDefault="00471103" w:rsidP="00471103">
      <w:pPr>
        <w:tabs>
          <w:tab w:val="left" w:pos="2830"/>
        </w:tabs>
        <w:jc w:val="both"/>
        <w:rPr>
          <w:rFonts w:ascii="Arial" w:eastAsia="Arial" w:hAnsi="Arial" w:cs="Arial"/>
        </w:rPr>
      </w:pPr>
    </w:p>
    <w:p w14:paraId="07F23CE1" w14:textId="738C4571" w:rsidR="00471103" w:rsidRDefault="00471103" w:rsidP="00471103">
      <w:pPr>
        <w:tabs>
          <w:tab w:val="left" w:pos="2830"/>
        </w:tabs>
        <w:jc w:val="both"/>
        <w:rPr>
          <w:rFonts w:ascii="Arial" w:eastAsia="Arial" w:hAnsi="Arial" w:cs="Arial"/>
        </w:rPr>
      </w:pPr>
      <w:r>
        <w:rPr>
          <w:rFonts w:ascii="Arial" w:eastAsia="Arial" w:hAnsi="Arial" w:cs="Arial"/>
        </w:rPr>
        <w:t xml:space="preserve">La convalidación es el proceso mediante el cual se reconocen las capacidades adquiridas por el estudiante al validar sus calificaciones obtenidas en un Programa de Estudios para aplicarse a otro de similar contenido, estimando su peso crediticio. </w:t>
      </w:r>
    </w:p>
    <w:p w14:paraId="73163C75" w14:textId="77777777" w:rsidR="00471103" w:rsidRDefault="00471103" w:rsidP="00471103">
      <w:pPr>
        <w:tabs>
          <w:tab w:val="left" w:pos="2830"/>
        </w:tabs>
        <w:jc w:val="both"/>
        <w:rPr>
          <w:rFonts w:ascii="Arial" w:eastAsia="Arial" w:hAnsi="Arial" w:cs="Arial"/>
          <w:sz w:val="18"/>
          <w:szCs w:val="18"/>
        </w:rPr>
      </w:pPr>
    </w:p>
    <w:p w14:paraId="371A419A" w14:textId="266C278F" w:rsidR="00471103" w:rsidRDefault="00471103" w:rsidP="00471103">
      <w:pPr>
        <w:tabs>
          <w:tab w:val="left" w:pos="2830"/>
        </w:tabs>
        <w:jc w:val="both"/>
        <w:rPr>
          <w:rFonts w:ascii="Arial" w:eastAsia="Arial" w:hAnsi="Arial" w:cs="Arial"/>
        </w:rPr>
      </w:pPr>
      <w:r>
        <w:rPr>
          <w:rFonts w:ascii="Arial" w:eastAsia="Arial" w:hAnsi="Arial" w:cs="Arial"/>
        </w:rPr>
        <w:t>La sola convalidación no conduce a un título o certificación, sino que permite la incorporación o continuación en el proceso formativo. Este proceso se aplica a estudiantes que proceden de un traslado externo, a estudiantes de nuestra Institución que solicitan un traslado interno y a estudiantes que reingresan mediante un proceso de admisión.</w:t>
      </w:r>
    </w:p>
    <w:p w14:paraId="225DC7F0" w14:textId="77777777" w:rsidR="00471103" w:rsidRPr="00CF2BAF" w:rsidRDefault="00471103" w:rsidP="00471103">
      <w:pPr>
        <w:rPr>
          <w:sz w:val="24"/>
          <w:szCs w:val="24"/>
        </w:rPr>
      </w:pPr>
    </w:p>
    <w:p w14:paraId="73D5AE5D" w14:textId="77777777" w:rsidR="00CF2BAF" w:rsidRDefault="00CF2BAF"/>
    <w:sectPr w:rsidR="00CF2BA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887A" w14:textId="77777777" w:rsidR="006F08FA" w:rsidRDefault="006F08FA" w:rsidP="001074B8">
      <w:r>
        <w:separator/>
      </w:r>
    </w:p>
  </w:endnote>
  <w:endnote w:type="continuationSeparator" w:id="0">
    <w:p w14:paraId="017ED20C" w14:textId="77777777" w:rsidR="006F08FA" w:rsidRDefault="006F08FA" w:rsidP="0010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BE06" w14:textId="77777777" w:rsidR="001074B8" w:rsidRDefault="001074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7E57" w14:textId="77777777" w:rsidR="001074B8" w:rsidRDefault="001074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58FF" w14:textId="77777777" w:rsidR="001074B8" w:rsidRDefault="001074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F230" w14:textId="77777777" w:rsidR="006F08FA" w:rsidRDefault="006F08FA" w:rsidP="001074B8">
      <w:r>
        <w:separator/>
      </w:r>
    </w:p>
  </w:footnote>
  <w:footnote w:type="continuationSeparator" w:id="0">
    <w:p w14:paraId="7A3EAE63" w14:textId="77777777" w:rsidR="006F08FA" w:rsidRDefault="006F08FA" w:rsidP="0010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AF53" w14:textId="6B7386BA" w:rsidR="001074B8" w:rsidRDefault="001074B8">
    <w:pPr>
      <w:pStyle w:val="Encabezado"/>
    </w:pPr>
    <w:r>
      <w:rPr>
        <w:noProof/>
      </w:rPr>
      <w:pict w14:anchorId="4A048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490719" o:spid="_x0000_s2050" type="#_x0000_t75" style="position:absolute;margin-left:0;margin-top:0;width:425.1pt;height:425.1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5B17" w14:textId="2BD0F5E7" w:rsidR="001074B8" w:rsidRDefault="001074B8">
    <w:pPr>
      <w:pStyle w:val="Encabezado"/>
    </w:pPr>
    <w:r>
      <w:rPr>
        <w:noProof/>
      </w:rPr>
      <w:pict w14:anchorId="0A766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490720" o:spid="_x0000_s2051" type="#_x0000_t75" style="position:absolute;margin-left:0;margin-top:0;width:425.1pt;height:425.1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BF3B" w14:textId="3A53F3DF" w:rsidR="001074B8" w:rsidRDefault="001074B8">
    <w:pPr>
      <w:pStyle w:val="Encabezado"/>
    </w:pPr>
    <w:r>
      <w:rPr>
        <w:noProof/>
      </w:rPr>
      <w:pict w14:anchorId="41BF8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490718" o:spid="_x0000_s2049" type="#_x0000_t75" style="position:absolute;margin-left:0;margin-top:0;width:425.1pt;height:425.1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2D2B"/>
    <w:multiLevelType w:val="multilevel"/>
    <w:tmpl w:val="05A84A20"/>
    <w:lvl w:ilvl="0">
      <w:start w:val="1"/>
      <w:numFmt w:val="lowerLetter"/>
      <w:lvlText w:val="%1)"/>
      <w:lvlJc w:val="left"/>
      <w:pPr>
        <w:ind w:left="1585" w:hanging="428"/>
      </w:pPr>
      <w:rPr>
        <w:rFonts w:ascii="Calibri" w:eastAsia="Calibri" w:hAnsi="Calibri" w:cs="Calibri"/>
        <w:b/>
        <w:sz w:val="24"/>
        <w:szCs w:val="24"/>
      </w:rPr>
    </w:lvl>
    <w:lvl w:ilvl="1">
      <w:numFmt w:val="bullet"/>
      <w:lvlText w:val="•"/>
      <w:lvlJc w:val="left"/>
      <w:pPr>
        <w:ind w:left="2318" w:hanging="428"/>
      </w:pPr>
    </w:lvl>
    <w:lvl w:ilvl="2">
      <w:numFmt w:val="bullet"/>
      <w:lvlText w:val="•"/>
      <w:lvlJc w:val="left"/>
      <w:pPr>
        <w:ind w:left="3056" w:hanging="428"/>
      </w:pPr>
    </w:lvl>
    <w:lvl w:ilvl="3">
      <w:numFmt w:val="bullet"/>
      <w:lvlText w:val="•"/>
      <w:lvlJc w:val="left"/>
      <w:pPr>
        <w:ind w:left="3795" w:hanging="428"/>
      </w:pPr>
    </w:lvl>
    <w:lvl w:ilvl="4">
      <w:numFmt w:val="bullet"/>
      <w:lvlText w:val="•"/>
      <w:lvlJc w:val="left"/>
      <w:pPr>
        <w:ind w:left="4533" w:hanging="428"/>
      </w:pPr>
    </w:lvl>
    <w:lvl w:ilvl="5">
      <w:numFmt w:val="bullet"/>
      <w:lvlText w:val="•"/>
      <w:lvlJc w:val="left"/>
      <w:pPr>
        <w:ind w:left="5272" w:hanging="428"/>
      </w:pPr>
    </w:lvl>
    <w:lvl w:ilvl="6">
      <w:numFmt w:val="bullet"/>
      <w:lvlText w:val="•"/>
      <w:lvlJc w:val="left"/>
      <w:pPr>
        <w:ind w:left="6010" w:hanging="428"/>
      </w:pPr>
    </w:lvl>
    <w:lvl w:ilvl="7">
      <w:numFmt w:val="bullet"/>
      <w:lvlText w:val="•"/>
      <w:lvlJc w:val="left"/>
      <w:pPr>
        <w:ind w:left="6748" w:hanging="428"/>
      </w:pPr>
    </w:lvl>
    <w:lvl w:ilvl="8">
      <w:numFmt w:val="bullet"/>
      <w:lvlText w:val="•"/>
      <w:lvlJc w:val="left"/>
      <w:pPr>
        <w:ind w:left="7487" w:hanging="427"/>
      </w:pPr>
    </w:lvl>
  </w:abstractNum>
  <w:abstractNum w:abstractNumId="1" w15:restartNumberingAfterBreak="0">
    <w:nsid w:val="6DBE5E0B"/>
    <w:multiLevelType w:val="hybridMultilevel"/>
    <w:tmpl w:val="0C2E817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56445A7"/>
    <w:multiLevelType w:val="hybridMultilevel"/>
    <w:tmpl w:val="D4869558"/>
    <w:lvl w:ilvl="0" w:tplc="95E6040E">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AF"/>
    <w:rsid w:val="000C53FB"/>
    <w:rsid w:val="001074B8"/>
    <w:rsid w:val="0025216A"/>
    <w:rsid w:val="00471103"/>
    <w:rsid w:val="004B0A2F"/>
    <w:rsid w:val="006F08FA"/>
    <w:rsid w:val="00B3609B"/>
    <w:rsid w:val="00CF2B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2B914"/>
  <w15:chartTrackingRefBased/>
  <w15:docId w15:val="{6C68B072-9E8E-42C5-AB8F-28AB5CFB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AF"/>
    <w:pPr>
      <w:widowControl w:val="0"/>
      <w:spacing w:after="0" w:line="240" w:lineRule="auto"/>
    </w:pPr>
    <w:rPr>
      <w:rFonts w:ascii="Calibri" w:eastAsia="Calibri" w:hAnsi="Calibri" w:cs="Calibri"/>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BAF"/>
    <w:pPr>
      <w:ind w:left="720"/>
      <w:contextualSpacing/>
    </w:pPr>
  </w:style>
  <w:style w:type="paragraph" w:styleId="Encabezado">
    <w:name w:val="header"/>
    <w:basedOn w:val="Normal"/>
    <w:link w:val="EncabezadoCar"/>
    <w:uiPriority w:val="99"/>
    <w:unhideWhenUsed/>
    <w:rsid w:val="001074B8"/>
    <w:pPr>
      <w:tabs>
        <w:tab w:val="center" w:pos="4252"/>
        <w:tab w:val="right" w:pos="8504"/>
      </w:tabs>
    </w:pPr>
  </w:style>
  <w:style w:type="character" w:customStyle="1" w:styleId="EncabezadoCar">
    <w:name w:val="Encabezado Car"/>
    <w:basedOn w:val="Fuentedeprrafopredeter"/>
    <w:link w:val="Encabezado"/>
    <w:uiPriority w:val="99"/>
    <w:rsid w:val="001074B8"/>
    <w:rPr>
      <w:rFonts w:ascii="Calibri" w:eastAsia="Calibri" w:hAnsi="Calibri" w:cs="Calibri"/>
      <w:lang w:val="es-ES" w:eastAsia="es-PE"/>
    </w:rPr>
  </w:style>
  <w:style w:type="paragraph" w:styleId="Piedepgina">
    <w:name w:val="footer"/>
    <w:basedOn w:val="Normal"/>
    <w:link w:val="PiedepginaCar"/>
    <w:uiPriority w:val="99"/>
    <w:unhideWhenUsed/>
    <w:rsid w:val="001074B8"/>
    <w:pPr>
      <w:tabs>
        <w:tab w:val="center" w:pos="4252"/>
        <w:tab w:val="right" w:pos="8504"/>
      </w:tabs>
    </w:pPr>
  </w:style>
  <w:style w:type="character" w:customStyle="1" w:styleId="PiedepginaCar">
    <w:name w:val="Pie de página Car"/>
    <w:basedOn w:val="Fuentedeprrafopredeter"/>
    <w:link w:val="Piedepgina"/>
    <w:uiPriority w:val="99"/>
    <w:rsid w:val="001074B8"/>
    <w:rPr>
      <w:rFonts w:ascii="Calibri" w:eastAsia="Calibri" w:hAnsi="Calibri" w:cs="Calibri"/>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BLANCO FLORES BANJI DAYANNA</cp:lastModifiedBy>
  <cp:revision>6</cp:revision>
  <dcterms:created xsi:type="dcterms:W3CDTF">2024-06-22T17:03:00Z</dcterms:created>
  <dcterms:modified xsi:type="dcterms:W3CDTF">2024-06-22T17:55:00Z</dcterms:modified>
</cp:coreProperties>
</file>